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3F089F" w:rsidRPr="00E2103E">
        <w:rPr>
          <w:rFonts w:eastAsia="Calibri"/>
          <w:b/>
          <w:bCs/>
          <w:sz w:val="28"/>
          <w:szCs w:val="28"/>
          <w:lang w:eastAsia="ja-JP"/>
        </w:rPr>
        <w:t>Engineering support of LEVI design development and manufacturing for ports with DMS</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3F089F">
        <w:rPr>
          <w:b/>
          <w:i/>
          <w:sz w:val="28"/>
          <w:szCs w:val="28"/>
        </w:rPr>
        <w:t>CFE/10022338</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bookmarkStart w:id="7" w:name="_GoBack"/>
        <w:bookmarkEnd w:id="7"/>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F089F">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F089F">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F089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F089F">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3F089F">
      <w:rPr>
        <w:i/>
        <w:sz w:val="22"/>
        <w:szCs w:val="22"/>
      </w:rPr>
      <w:t>10022338</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89F"/>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6ECA8727"/>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10561-EA1B-463A-A857-AD7A6DFF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2021-11-18T09:46:00Z</dcterms:created>
  <dcterms:modified xsi:type="dcterms:W3CDTF">2021-11-18T09:46:00Z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